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1A" w:rsidRPr="0064406F" w:rsidRDefault="0064406F" w:rsidP="0064406F">
      <w:pPr>
        <w:pStyle w:val="NoSpacing"/>
        <w:jc w:val="center"/>
        <w:rPr>
          <w:b/>
          <w:sz w:val="28"/>
          <w:szCs w:val="28"/>
        </w:rPr>
      </w:pPr>
      <w:proofErr w:type="spellStart"/>
      <w:r w:rsidRPr="0064406F">
        <w:rPr>
          <w:b/>
          <w:sz w:val="28"/>
          <w:szCs w:val="28"/>
        </w:rPr>
        <w:t>Stockcube</w:t>
      </w:r>
      <w:proofErr w:type="spellEnd"/>
      <w:r w:rsidRPr="0064406F">
        <w:rPr>
          <w:b/>
          <w:sz w:val="28"/>
          <w:szCs w:val="28"/>
        </w:rPr>
        <w:t xml:space="preserve"> Plc</w:t>
      </w:r>
    </w:p>
    <w:p w:rsidR="0064406F" w:rsidRDefault="0064406F" w:rsidP="0064406F">
      <w:pPr>
        <w:pStyle w:val="NoSpacing"/>
        <w:jc w:val="center"/>
        <w:rPr>
          <w:b/>
          <w:sz w:val="28"/>
          <w:szCs w:val="28"/>
        </w:rPr>
      </w:pPr>
      <w:r w:rsidRPr="0064406F">
        <w:rPr>
          <w:b/>
          <w:sz w:val="28"/>
          <w:szCs w:val="28"/>
        </w:rPr>
        <w:t>Cash on deposit with MF Global</w:t>
      </w:r>
      <w:r w:rsidR="005F2061">
        <w:rPr>
          <w:b/>
          <w:sz w:val="28"/>
          <w:szCs w:val="28"/>
        </w:rPr>
        <w:t xml:space="preserve"> UK Limited</w:t>
      </w:r>
    </w:p>
    <w:p w:rsidR="0064406F" w:rsidRDefault="0064406F" w:rsidP="0064406F">
      <w:pPr>
        <w:pStyle w:val="NoSpacing"/>
        <w:jc w:val="center"/>
        <w:rPr>
          <w:b/>
          <w:sz w:val="28"/>
          <w:szCs w:val="28"/>
        </w:rPr>
      </w:pPr>
    </w:p>
    <w:p w:rsidR="0064406F" w:rsidRDefault="0064406F" w:rsidP="006440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company announced on 2 November 2011 that its cash balance of £113,569 on various MFGlobal UK Limited accounts had been frozen after MF Global UK Limited had been placed into administration on 31 October 2011. This amount represented 7.56% of cash and cash equivalent and investments of the Company and its subsidiaries as at 30 June 2011.</w:t>
      </w:r>
    </w:p>
    <w:p w:rsidR="0064406F" w:rsidRDefault="0064406F" w:rsidP="0064406F">
      <w:pPr>
        <w:pStyle w:val="NoSpacing"/>
        <w:rPr>
          <w:sz w:val="28"/>
          <w:szCs w:val="28"/>
        </w:rPr>
      </w:pPr>
    </w:p>
    <w:p w:rsidR="0064406F" w:rsidRDefault="0064406F" w:rsidP="0064406F">
      <w:pPr>
        <w:pStyle w:val="NoSpacing"/>
        <w:rPr>
          <w:sz w:val="28"/>
          <w:szCs w:val="28"/>
        </w:rPr>
      </w:pPr>
    </w:p>
    <w:p w:rsidR="0064406F" w:rsidRDefault="0064406F" w:rsidP="0064406F">
      <w:pPr>
        <w:pStyle w:val="NoSpacing"/>
        <w:rPr>
          <w:sz w:val="28"/>
          <w:szCs w:val="28"/>
        </w:rPr>
      </w:pPr>
    </w:p>
    <w:p w:rsidR="0064406F" w:rsidRDefault="0064406F" w:rsidP="0064406F">
      <w:pPr>
        <w:pStyle w:val="NoSpacing"/>
        <w:rPr>
          <w:sz w:val="28"/>
          <w:szCs w:val="28"/>
        </w:rPr>
      </w:pPr>
    </w:p>
    <w:p w:rsidR="0064406F" w:rsidRDefault="0064406F" w:rsidP="006440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Enquiries:</w:t>
      </w:r>
    </w:p>
    <w:p w:rsidR="0064406F" w:rsidRDefault="0064406F" w:rsidP="0064406F">
      <w:pPr>
        <w:pStyle w:val="NoSpacing"/>
        <w:rPr>
          <w:sz w:val="28"/>
          <w:szCs w:val="28"/>
        </w:rPr>
      </w:pPr>
    </w:p>
    <w:p w:rsidR="0064406F" w:rsidRPr="0064406F" w:rsidRDefault="0064406F" w:rsidP="006440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Julian Burney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Chief Executive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02073524001</w:t>
      </w:r>
    </w:p>
    <w:sectPr w:rsidR="0064406F" w:rsidRPr="0064406F" w:rsidSect="005C3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06F"/>
    <w:rsid w:val="005C3B1A"/>
    <w:rsid w:val="005F2061"/>
    <w:rsid w:val="0064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syeoh</dc:creator>
  <cp:lastModifiedBy>syeoh</cp:lastModifiedBy>
  <cp:revision>1</cp:revision>
  <dcterms:created xsi:type="dcterms:W3CDTF">2012-06-22T09:52:00Z</dcterms:created>
  <dcterms:modified xsi:type="dcterms:W3CDTF">2012-06-22T10:04:00Z</dcterms:modified>
</cp:coreProperties>
</file>